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072"/>
        </w:tabs>
        <w:jc w:val="both"/>
        <w:rPr>
          <w:rFonts w:ascii="Arial" w:hAnsi="Arial" w:eastAsia="宋体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TSG-RAN WG4 Meeting #100-e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sz w:val="24"/>
          <w:lang w:eastAsia="zh-CN"/>
        </w:rPr>
        <w:t>R4-2113195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/>
          <w:b/>
          <w:sz w:val="24"/>
          <w:lang w:val="en-GB" w:eastAsia="zh-CN"/>
        </w:rPr>
      </w:pPr>
      <w:r>
        <w:rPr>
          <w:rFonts w:ascii="Arial" w:hAnsi="Arial" w:eastAsia="宋体" w:cs="Arial"/>
          <w:b/>
          <w:sz w:val="24"/>
          <w:lang w:eastAsia="zh-CN"/>
        </w:rPr>
        <w:t>Electronic Meeting, August 16-27, 2021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4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rFonts w:hint="eastAsia" w:eastAsiaTheme="minorEastAsia"/>
          <w:sz w:val="24"/>
          <w:lang w:val="en-US" w:eastAsia="zh-CN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eastAsia="MS Mincho"/>
          <w:b/>
          <w:sz w:val="24"/>
          <w:lang w:eastAsia="zh-CN"/>
        </w:rPr>
      </w:pPr>
      <w:r>
        <w:rPr>
          <w:rFonts w:ascii="Arial" w:hAnsi="Arial" w:eastAsia="MS Mincho"/>
          <w:b/>
          <w:sz w:val="24"/>
        </w:rPr>
        <w:t>Title:</w:t>
      </w:r>
      <w:r>
        <w:rPr>
          <w:rFonts w:hint="eastAsia" w:ascii="Arial" w:hAnsi="Arial" w:eastAsiaTheme="minorEastAsia"/>
          <w:b/>
          <w:sz w:val="24"/>
          <w:lang w:eastAsia="zh-CN"/>
        </w:rPr>
        <w:t xml:space="preserve">          </w:t>
      </w:r>
      <w:r>
        <w:rPr>
          <w:rFonts w:hint="eastAsia" w:ascii="Arial" w:hAnsi="Arial" w:eastAsia="MS Mincho"/>
          <w:b/>
          <w:sz w:val="24"/>
          <w:lang w:eastAsia="zh-CN"/>
        </w:rPr>
        <w:t>Discussion on NR FR2 HST channel model</w:t>
      </w:r>
    </w:p>
    <w:p>
      <w:pPr>
        <w:pStyle w:val="14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sv-SE"/>
        </w:rPr>
        <w:t>Agenda Item:</w:t>
      </w:r>
      <w:r>
        <w:rPr>
          <w:sz w:val="24"/>
          <w:lang w:val="sv-SE"/>
        </w:rPr>
        <w:tab/>
      </w:r>
      <w:r>
        <w:rPr>
          <w:rFonts w:hint="eastAsia" w:eastAsia="宋体"/>
          <w:sz w:val="24"/>
          <w:lang w:val="en-US" w:eastAsia="zh-CN"/>
        </w:rPr>
        <w:t>9.9.2.3</w:t>
      </w:r>
    </w:p>
    <w:p>
      <w:pPr>
        <w:pStyle w:val="14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Theme="minorEastAsia"/>
          <w:sz w:val="24"/>
          <w:lang w:eastAsia="zh-CN"/>
        </w:rPr>
        <w:t>Approval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The channel model for uni-directional deployment and bi-directional deployment were discussed in RAN 4# 99-e meeting. The start point for t=0 is FFS still for uni-directional deployment and the channel model for bi-directional deployment needs further down-selection.</w:t>
      </w:r>
    </w:p>
    <w:p>
      <w:pPr>
        <w:pStyle w:val="3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hint="eastAsia" w:eastAsia="宋体"/>
          <w:szCs w:val="20"/>
          <w:lang w:val="en-US" w:eastAsia="zh-CN"/>
        </w:rPr>
        <w:t>In this contribution, we give our views about channel model for HST_FR2.</w:t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ascii="Times New Roman" w:hAnsi="Times New Roman"/>
          <w:bCs/>
          <w:kern w:val="0"/>
          <w:sz w:val="20"/>
          <w:szCs w:val="20"/>
        </w:rPr>
        <w:t xml:space="preserve">In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RAN4# 99-e</w:t>
      </w:r>
      <w:r>
        <w:rPr>
          <w:rFonts w:ascii="Times New Roman" w:hAnsi="Times New Roman"/>
          <w:bCs/>
          <w:kern w:val="0"/>
          <w:sz w:val="20"/>
          <w:szCs w:val="20"/>
        </w:rPr>
        <w:t xml:space="preserve"> meeting, the </w:t>
      </w:r>
      <w:r>
        <w:rPr>
          <w:rFonts w:hint="eastAsia" w:ascii="Times New Roman" w:hAnsi="Times New Roman"/>
          <w:bCs/>
          <w:kern w:val="0"/>
          <w:sz w:val="20"/>
          <w:szCs w:val="20"/>
        </w:rPr>
        <w:t>channel model for uni-directional deployment was captured as below</w:t>
      </w:r>
      <w:r>
        <w:rPr>
          <w:rFonts w:hint="eastAsia" w:ascii="Times New Roman" w:hAnsi="Times New Roman"/>
          <w:bCs/>
          <w:kern w:val="0"/>
          <w:sz w:val="20"/>
          <w:szCs w:val="20"/>
          <w:vertAlign w:val="superscript"/>
        </w:rPr>
        <w:t>[1]</w:t>
      </w:r>
      <w:r>
        <w:rPr>
          <w:rFonts w:ascii="Times New Roman" w:hAnsi="Times New Roman"/>
          <w:bCs/>
          <w:kern w:val="0"/>
          <w:sz w:val="20"/>
          <w:szCs w:val="20"/>
        </w:rPr>
        <w:t>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>
            <w:pPr>
              <w:pStyle w:val="29"/>
              <w:ind w:firstLine="0" w:firstLineChars="0"/>
              <w:rPr>
                <w:rFonts w:ascii="Times New Roman" w:hAnsi="Times New Roman"/>
                <w:bCs/>
                <w:kern w:val="0"/>
                <w:sz w:val="20"/>
                <w:szCs w:val="20"/>
              </w:rPr>
            </w:pPr>
            <w:r>
              <w:drawing>
                <wp:inline distT="0" distB="0" distL="114300" distR="114300">
                  <wp:extent cx="5899150" cy="2694305"/>
                  <wp:effectExtent l="0" t="0" r="13970" b="0"/>
                  <wp:docPr id="10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b="199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9150" cy="269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UE moving towards serving beam is considered for HST_FR2 channel model, so the switching point for channel model should be Ds_offset to the left of the RRH when CPE moves from left to right.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To align simulation results from different companies, the starting point of t = 0 can be Ds_offset to the left of the RRH which is denoted as switching point. 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:</w:t>
      </w:r>
      <w:r>
        <w:rPr>
          <w:rFonts w:hint="eastAsia" w:ascii="Times New Roman" w:hAnsi="Times New Roman"/>
          <w:b/>
          <w:kern w:val="0"/>
          <w:sz w:val="20"/>
          <w:szCs w:val="20"/>
        </w:rPr>
        <w:t>The starting point of t = 0 can be at the switching point which is Ds_offset to the left of RRH when CPE moves from left to right to align simulation results from different companies.</w:t>
      </w:r>
    </w:p>
    <w:p>
      <w:pPr>
        <w:pStyle w:val="29"/>
        <w:ind w:firstLine="0" w:firstLineChars="0"/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There were 4 options reached for channel model of bi-directional deployment: 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04" w:type="dxa"/>
          </w:tcPr>
          <w:p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</w:pPr>
            <w:r>
              <w:rPr>
                <w:lang w:eastAsia="zh-CN"/>
              </w:rPr>
              <w:drawing>
                <wp:inline distT="0" distB="0" distL="114300" distR="114300">
                  <wp:extent cx="4244340" cy="2481580"/>
                  <wp:effectExtent l="0" t="0" r="0" b="0"/>
                  <wp:docPr id="11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6848" b="1318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4340" cy="248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lang w:eastAsia="zh-CN"/>
              </w:rPr>
            </w:pPr>
            <w:r>
              <w:rPr>
                <w:lang w:eastAsia="zh-CN"/>
              </w:rPr>
              <w:drawing>
                <wp:inline distT="0" distB="0" distL="114300" distR="114300">
                  <wp:extent cx="4186555" cy="2453005"/>
                  <wp:effectExtent l="0" t="0" r="0" b="635"/>
                  <wp:docPr id="13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r="45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6555" cy="2453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 xml:space="preserve">These options above are strongly related to the transmission schemes. For option 2(e), whether the coverage hole affect the performance or not should be first discussed. For scenario-A one beam per RRH can provide sufficient coverage, so the Rx power of option 2(e) for scenario-B is given in figure 1. Table A-1 in appendix summarizes our evaluation assumptions for option 2(e) for scenario-B bi-directional deployment. Figure 2 depicts the beam bearing for option 2(e). </w:t>
      </w:r>
    </w:p>
    <w:p>
      <w:pPr>
        <w:pStyle w:val="29"/>
        <w:ind w:firstLine="0" w:firstLineChars="0"/>
        <w:jc w:val="center"/>
      </w:pPr>
      <w:r>
        <w:drawing>
          <wp:inline distT="0" distB="0" distL="0" distR="0">
            <wp:extent cx="2740660" cy="2196465"/>
            <wp:effectExtent l="0" t="0" r="0" b="0"/>
            <wp:docPr id="3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323" t="1605" r="6790" b="2312"/>
                    <a:stretch>
                      <a:fillRect/>
                    </a:stretch>
                  </pic:blipFill>
                  <pic:spPr>
                    <a:xfrm>
                      <a:off x="0" y="0"/>
                      <a:ext cx="2746476" cy="2201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0" w:firstLineChars="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Figure 1, Rx power from different beams for scenario-B bi-directional deployment option 2(e)</w:t>
      </w:r>
    </w:p>
    <w:p>
      <w:pPr>
        <w:jc w:val="center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0" distR="0">
            <wp:extent cx="5063490" cy="1186815"/>
            <wp:effectExtent l="19050" t="0" r="3711" b="0"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4762" cy="1187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jc w:val="center"/>
        <w:rPr>
          <w:rFonts w:ascii="Times New Roman" w:hAnsi="Times New Roman"/>
          <w:b/>
          <w:bCs/>
          <w:lang w:eastAsia="zh-CN"/>
        </w:rPr>
      </w:pPr>
      <w:r>
        <w:rPr>
          <w:rFonts w:ascii="Times New Roman" w:hAnsi="Times New Roman"/>
          <w:b/>
          <w:bCs/>
          <w:lang w:eastAsia="zh-CN"/>
        </w:rPr>
        <w:t>Figure 2, Depiction of option 2(e) of channel model for</w:t>
      </w:r>
      <w:r>
        <w:rPr>
          <w:rFonts w:hint="eastAsia" w:ascii="Times New Roman" w:hAnsi="Times New Roman"/>
          <w:b/>
          <w:bCs/>
          <w:lang w:eastAsia="zh-CN"/>
        </w:rPr>
        <w:t xml:space="preserve"> </w:t>
      </w:r>
      <w:r>
        <w:rPr>
          <w:rFonts w:ascii="Times New Roman" w:hAnsi="Times New Roman"/>
          <w:b/>
          <w:bCs/>
          <w:lang w:eastAsia="zh-CN"/>
        </w:rPr>
        <w:t>scenario-B bi-directional deployment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It can be seen from figure 1 that the Rx power is low when CPE is near the RRH, so option 2(e) is not preferred.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Comparing between option 2(a) and option 2(b) in our accompany contribution in [</w:t>
      </w:r>
      <w:r>
        <w:rPr>
          <w:rFonts w:hint="eastAsia" w:ascii="Times New Roman" w:hAnsi="Times New Roman"/>
          <w:bCs/>
          <w:kern w:val="0"/>
          <w:sz w:val="20"/>
          <w:szCs w:val="20"/>
          <w:lang w:val="en-US" w:eastAsia="zh-CN"/>
        </w:rPr>
        <w:t>2</w:t>
      </w:r>
      <w:r>
        <w:rPr>
          <w:rFonts w:hint="eastAsia" w:ascii="Times New Roman" w:hAnsi="Times New Roman"/>
          <w:bCs/>
          <w:kern w:val="0"/>
          <w:sz w:val="20"/>
          <w:szCs w:val="20"/>
        </w:rPr>
        <w:t>], we can find that option 2(b) provide similar coverage as option 2(a) in scenario-A at the cost of more propagation delay hopping.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Option 2(a) channel model are designed for scenario-A. If bi-directional deployment is not precluded for scenario-A option 2(a) should be supported.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The Rx power comparison between option 2(b) and 2(c) for scenario-B is shown in figure 3. Table A-2 in appendix summarizes the evaluation assumptions for these two options of scenario-B bi-directional deployment. Figure 4 depicts option 2(b) and option 2(c).</w:t>
      </w:r>
    </w:p>
    <w:p>
      <w:pPr>
        <w:pStyle w:val="29"/>
        <w:ind w:firstLine="0" w:firstLineChars="0"/>
        <w:jc w:val="center"/>
      </w:pPr>
      <w:r>
        <w:drawing>
          <wp:inline distT="0" distB="0" distL="0" distR="0">
            <wp:extent cx="2416175" cy="1935480"/>
            <wp:effectExtent l="0" t="0" r="0" b="0"/>
            <wp:docPr id="4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901" t="1349" r="6212" b="2697"/>
                    <a:stretch>
                      <a:fillRect/>
                    </a:stretch>
                  </pic:blipFill>
                  <pic:spPr>
                    <a:xfrm>
                      <a:off x="0" y="0"/>
                      <a:ext cx="2418348" cy="1937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9"/>
        <w:ind w:firstLine="0" w:firstLineChars="0"/>
        <w:jc w:val="center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hint="eastAsia" w:ascii="Times New Roman" w:hAnsi="Times New Roman"/>
          <w:b/>
          <w:kern w:val="0"/>
          <w:sz w:val="20"/>
          <w:szCs w:val="20"/>
        </w:rPr>
        <w:t>Figure 3, Rx power comparison between option 2(b) and 2(c) for scenario-B bi-directional deployment</w:t>
      </w:r>
    </w:p>
    <w:p>
      <w:pPr>
        <w:pStyle w:val="9"/>
        <w:numPr>
          <w:ilvl w:val="0"/>
          <w:numId w:val="0"/>
        </w:numPr>
        <w:jc w:val="center"/>
      </w:pPr>
      <w:r>
        <w:rPr>
          <w:lang w:val="en-US"/>
        </w:rPr>
        <w:drawing>
          <wp:inline distT="0" distB="0" distL="0" distR="0">
            <wp:extent cx="4272280" cy="261239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082" r="1598" b="9991"/>
                    <a:stretch>
                      <a:fillRect/>
                    </a:stretch>
                  </pic:blipFill>
                  <pic:spPr>
                    <a:xfrm>
                      <a:off x="0" y="0"/>
                      <a:ext cx="4272577" cy="261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eastAsia="黑体"/>
          <w:b/>
          <w:bCs/>
          <w:szCs w:val="20"/>
          <w:lang w:eastAsia="zh-CN"/>
        </w:rPr>
      </w:pPr>
      <w:r>
        <w:rPr>
          <w:rFonts w:eastAsia="黑体"/>
          <w:b/>
          <w:bCs/>
          <w:szCs w:val="20"/>
          <w:lang w:eastAsia="zh-CN"/>
        </w:rPr>
        <w:t xml:space="preserve">Figure </w:t>
      </w:r>
      <w:r>
        <w:rPr>
          <w:rFonts w:hint="eastAsia" w:eastAsia="黑体"/>
          <w:b/>
          <w:bCs/>
          <w:szCs w:val="20"/>
          <w:lang w:eastAsia="zh-CN"/>
        </w:rPr>
        <w:t>4,</w:t>
      </w:r>
      <w:r>
        <w:rPr>
          <w:rFonts w:eastAsia="黑体"/>
          <w:b/>
          <w:bCs/>
          <w:szCs w:val="20"/>
          <w:lang w:eastAsia="zh-CN"/>
        </w:rPr>
        <w:t xml:space="preserve"> Depiction of option 2(b) and option 2(c) of channel model for scenario-B bi-directional deployment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It can be seen from figure 3 that the Rx power fluctuation of option 2(b) is greater than that of option2(c).</w:t>
      </w:r>
    </w:p>
    <w:p>
      <w:pPr>
        <w:pStyle w:val="29"/>
        <w:ind w:firstLine="0" w:firstLineChars="0"/>
        <w:rPr>
          <w:rFonts w:ascii="Times New Roman" w:hAnsi="Times New Roman"/>
          <w:bCs/>
          <w:kern w:val="0"/>
          <w:sz w:val="20"/>
          <w:szCs w:val="20"/>
        </w:rPr>
      </w:pPr>
      <w:r>
        <w:rPr>
          <w:rFonts w:hint="eastAsia" w:ascii="Times New Roman" w:hAnsi="Times New Roman"/>
          <w:bCs/>
          <w:kern w:val="0"/>
          <w:sz w:val="20"/>
          <w:szCs w:val="20"/>
        </w:rPr>
        <w:t>Based on the analysis, we prefer option 2(a) for channel model of scenario-A bi-directional deployment and prefer option 2(c) for channel model of scenario-B bi-directional deployment.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If bi-directional is supported, we prefer option 2(a) for channel model of scenario-A bi-directional deployment and option 2(c) for channel model of scenario-B bi-directional deployment.</w:t>
      </w:r>
    </w:p>
    <w:p>
      <w:pPr>
        <w:rPr>
          <w:b/>
          <w:szCs w:val="20"/>
          <w:lang w:eastAsia="zh-CN"/>
        </w:rPr>
      </w:pPr>
      <w:r>
        <w:rPr>
          <w:rFonts w:hint="eastAsia"/>
          <w:b/>
          <w:szCs w:val="20"/>
          <w:lang w:eastAsia="zh-CN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rPr>
          <w:rFonts w:eastAsia="宋体"/>
          <w:bCs/>
          <w:szCs w:val="20"/>
          <w:lang w:eastAsia="zh-CN"/>
        </w:rPr>
      </w:pPr>
      <w:r>
        <w:rPr>
          <w:rFonts w:hint="eastAsia" w:eastAsia="宋体"/>
          <w:bCs/>
          <w:szCs w:val="20"/>
          <w:lang w:eastAsia="zh-CN"/>
        </w:rPr>
        <w:t>In this contribution, we provide the observation and proposals for HST_FR2 channel model: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1</w:t>
      </w:r>
      <w:r>
        <w:rPr>
          <w:rFonts w:ascii="Times New Roman" w:hAnsi="Times New Roman"/>
          <w:b/>
          <w:kern w:val="0"/>
          <w:sz w:val="20"/>
          <w:szCs w:val="20"/>
        </w:rPr>
        <w:t xml:space="preserve"> :</w:t>
      </w:r>
      <w:r>
        <w:rPr>
          <w:rFonts w:hint="eastAsia" w:ascii="Times New Roman" w:hAnsi="Times New Roman"/>
          <w:b/>
          <w:kern w:val="0"/>
          <w:sz w:val="20"/>
          <w:szCs w:val="20"/>
        </w:rPr>
        <w:t>The starting point of t = 0 can be at the switching point which is Ds_offset to the left of RRH when CPE moves from left to right to align simulation results from different companies.</w:t>
      </w:r>
    </w:p>
    <w:p>
      <w:pPr>
        <w:pStyle w:val="29"/>
        <w:suppressAutoHyphens/>
        <w:ind w:firstLine="0" w:firstLineChars="0"/>
        <w:rPr>
          <w:rFonts w:ascii="Times New Roman" w:hAnsi="Times New Roman"/>
          <w:b/>
          <w:kern w:val="0"/>
          <w:sz w:val="20"/>
          <w:szCs w:val="20"/>
        </w:rPr>
      </w:pPr>
      <w:r>
        <w:rPr>
          <w:rFonts w:ascii="Times New Roman" w:hAnsi="Times New Roman"/>
          <w:b/>
          <w:kern w:val="0"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kern w:val="0"/>
          <w:sz w:val="20"/>
          <w:szCs w:val="20"/>
        </w:rPr>
        <w:t>2</w:t>
      </w:r>
      <w:r>
        <w:rPr>
          <w:rFonts w:ascii="Times New Roman" w:hAnsi="Times New Roman"/>
          <w:b/>
          <w:kern w:val="0"/>
          <w:sz w:val="20"/>
          <w:szCs w:val="20"/>
        </w:rPr>
        <w:t>:</w:t>
      </w:r>
      <w:r>
        <w:rPr>
          <w:rFonts w:hint="eastAsia" w:ascii="Times New Roman" w:hAnsi="Times New Roman"/>
          <w:b/>
          <w:kern w:val="0"/>
          <w:sz w:val="20"/>
          <w:szCs w:val="20"/>
        </w:rPr>
        <w:t xml:space="preserve"> If bi-directional is supported, we prefer option 2(a) for channel model of scenario-A bi-directional deployment and option 2(c) for channel model of scenario-B bi-directional deployment.</w:t>
      </w:r>
      <w:r>
        <w:rPr>
          <w:rFonts w:hint="eastAsia" w:ascii="Times New Roman" w:hAnsi="Times New Roman"/>
          <w:b/>
          <w:kern w:val="0"/>
          <w:sz w:val="20"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  <w:lang w:val="en-US"/>
        </w:rPr>
        <w:t>R4-2108661 WF on Channel Modeling for FR2 HST</w:t>
      </w:r>
    </w:p>
    <w:p>
      <w:pPr>
        <w:pStyle w:val="9"/>
        <w:rPr>
          <w:sz w:val="20"/>
          <w:szCs w:val="20"/>
        </w:rPr>
      </w:pPr>
      <w:r>
        <w:rPr>
          <w:rFonts w:hint="eastAsia"/>
          <w:sz w:val="20"/>
          <w:szCs w:val="20"/>
        </w:rPr>
        <w:t>R4-2113193 Discussion on NR FR2 HST scenario-A</w:t>
      </w:r>
      <w:bookmarkStart w:id="1" w:name="_GoBack"/>
      <w:bookmarkEnd w:id="1"/>
    </w:p>
    <w:p>
      <w:pPr>
        <w:rPr>
          <w:szCs w:val="20"/>
        </w:rPr>
      </w:pPr>
      <w:r>
        <w:rPr>
          <w:rFonts w:hint="eastAsia"/>
          <w:szCs w:val="20"/>
        </w:rPr>
        <w:br w:type="page"/>
      </w:r>
    </w:p>
    <w:p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Appendix</w:t>
      </w:r>
    </w:p>
    <w:p>
      <w:pPr>
        <w:pStyle w:val="6"/>
        <w:adjustRightInd w:val="0"/>
        <w:snapToGrid w:val="0"/>
        <w:spacing w:line="240" w:lineRule="auto"/>
        <w:jc w:val="center"/>
        <w:rPr>
          <w:rFonts w:ascii="Times New Roman" w:hAnsi="Times New Roman"/>
          <w:lang w:eastAsia="zh-CN"/>
        </w:rPr>
      </w:pPr>
      <w:bookmarkStart w:id="0" w:name="_Ref492904416"/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eastAsia="zh-CN"/>
        </w:rPr>
        <w:t>A-1</w:t>
      </w:r>
      <w:bookmarkEnd w:id="0"/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</w:rPr>
        <w:t xml:space="preserve">valuation assumptions for </w:t>
      </w:r>
      <w:r>
        <w:rPr>
          <w:rFonts w:ascii="Times New Roman" w:hAnsi="Times New Roman"/>
          <w:lang w:eastAsia="zh-CN"/>
        </w:rPr>
        <w:t>scenario-B bi-directional deployment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8"/>
        <w:gridCol w:w="46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Parameters</w:t>
            </w:r>
          </w:p>
        </w:tc>
        <w:tc>
          <w:tcPr>
            <w:tcW w:w="464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Option 2(e) </w:t>
            </w:r>
            <w:r>
              <w:rPr>
                <w:szCs w:val="20"/>
                <w:lang w:eastAsia="zh-CN"/>
              </w:rPr>
              <w:t>scenario-B bi-directional deployment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configuration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8 2 1 1]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5" o:spt="75" type="#_x0000_t75" style="height:17.75pt;width:119.2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2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26" o:spt="75" type="#_x0000_t75" style="height:17.75pt;width:120.1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configuration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2 2 1 1]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7" o:spt="75" type="#_x0000_t75" style="height:17.75pt;width:119.2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6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28" o:spt="75" type="#_x0000_t75" style="height:17.75pt;width:120.1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panel placement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-32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-148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szCs w:val="20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panel placement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32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148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Tx power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  <w:r>
              <w:rPr>
                <w:rFonts w:eastAsia="宋体"/>
                <w:szCs w:val="20"/>
                <w:lang w:eastAsia="zh-CN"/>
              </w:rPr>
              <w:t>30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height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height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Antenna loss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3088" w:type="dxa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Paht loss model</w:t>
            </w:r>
          </w:p>
        </w:tc>
        <w:tc>
          <w:tcPr>
            <w:tcW w:w="4648" w:type="dxa"/>
            <w:shd w:val="clear" w:color="auto" w:fill="auto"/>
            <w:noWrap/>
            <w:vAlign w:val="center"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RMaLOS PL1 TS38901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3088" w:type="dxa"/>
            <w:vMerge w:val="restart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Tx Beam* </w:t>
            </w:r>
          </w:p>
        </w:tc>
        <w:tc>
          <w:tcPr>
            <w:tcW w:w="4648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 -40.6013degree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 92.4843degree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3088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</w:rPr>
            </w:pPr>
          </w:p>
        </w:tc>
        <w:tc>
          <w:tcPr>
            <w:tcW w:w="4648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 -23.1968degree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 91.5043degree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088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</w:p>
        </w:tc>
        <w:tc>
          <w:tcPr>
            <w:tcW w:w="4648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3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-156.8014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 91.5043degree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3088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</w:p>
        </w:tc>
        <w:tc>
          <w:tcPr>
            <w:tcW w:w="4648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4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-139.3987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92.4843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3088" w:type="dxa"/>
            <w:vMerge w:val="restart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Rx Beam*</w:t>
            </w:r>
          </w:p>
        </w:tc>
        <w:tc>
          <w:tcPr>
            <w:tcW w:w="4648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Left panel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148.0981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88.0063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088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0" w:line="240" w:lineRule="auto"/>
              <w:rPr>
                <w:szCs w:val="20"/>
                <w:lang w:eastAsia="ja-JP"/>
              </w:rPr>
            </w:pPr>
          </w:p>
        </w:tc>
        <w:tc>
          <w:tcPr>
            <w:tcW w:w="4648" w:type="dxa"/>
            <w:shd w:val="clear" w:color="auto" w:fill="auto"/>
            <w:noWrap/>
          </w:tcPr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Right panel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31.9023 degree</w:t>
            </w:r>
          </w:p>
          <w:p>
            <w:pPr>
              <w:pStyle w:val="36"/>
              <w:keepNext w:val="0"/>
              <w:keepLines w:val="0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88.0063 degree</w:t>
            </w:r>
          </w:p>
        </w:tc>
      </w:tr>
    </w:tbl>
    <w:p>
      <w:pPr>
        <w:pStyle w:val="9"/>
        <w:numPr>
          <w:ilvl w:val="0"/>
          <w:numId w:val="0"/>
        </w:numPr>
        <w:adjustRightInd w:val="0"/>
        <w:spacing w:line="240" w:lineRule="auto"/>
        <w:rPr>
          <w:rFonts w:hint="eastAsia"/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* The track is parallel to x-axis. The CPE moves in the positive direction of the x-axis. The y-axis coordinate of the RRH is Dmin. The 0 degree of elevation is parallel to z-axis.</w:t>
      </w:r>
    </w:p>
    <w:p>
      <w:pPr>
        <w:pStyle w:val="9"/>
        <w:numPr>
          <w:ilvl w:val="0"/>
          <w:numId w:val="0"/>
        </w:numPr>
        <w:adjustRightInd w:val="0"/>
        <w:spacing w:line="240" w:lineRule="auto"/>
        <w:rPr>
          <w:rFonts w:hint="eastAsia"/>
          <w:sz w:val="20"/>
          <w:szCs w:val="20"/>
          <w:lang w:val="en-US"/>
        </w:rPr>
      </w:pPr>
    </w:p>
    <w:p>
      <w:pPr>
        <w:pStyle w:val="9"/>
        <w:numPr>
          <w:ilvl w:val="0"/>
          <w:numId w:val="0"/>
        </w:numPr>
        <w:adjustRightInd w:val="0"/>
        <w:spacing w:line="240" w:lineRule="auto"/>
        <w:rPr>
          <w:sz w:val="20"/>
          <w:szCs w:val="20"/>
          <w:lang w:val="en-US"/>
        </w:rPr>
      </w:pPr>
    </w:p>
    <w:p>
      <w:pPr>
        <w:pStyle w:val="6"/>
        <w:adjustRightInd w:val="0"/>
        <w:snapToGrid w:val="0"/>
        <w:spacing w:line="240" w:lineRule="auto"/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 xml:space="preserve">Table </w:t>
      </w:r>
      <w:r>
        <w:rPr>
          <w:rFonts w:ascii="Times New Roman" w:hAnsi="Times New Roman"/>
          <w:lang w:eastAsia="zh-CN"/>
        </w:rPr>
        <w:t>A-2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eastAsia="zh-CN"/>
        </w:rPr>
        <w:t>E</w:t>
      </w:r>
      <w:r>
        <w:rPr>
          <w:rFonts w:ascii="Times New Roman" w:hAnsi="Times New Roman"/>
        </w:rPr>
        <w:t xml:space="preserve">valuation assumptions for </w:t>
      </w:r>
      <w:r>
        <w:rPr>
          <w:rFonts w:ascii="Times New Roman" w:hAnsi="Times New Roman"/>
          <w:lang w:eastAsia="zh-CN"/>
        </w:rPr>
        <w:t>scenario-B bi-directional deployment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2"/>
        <w:gridCol w:w="2932"/>
        <w:gridCol w:w="63"/>
        <w:gridCol w:w="2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72" w:type="dxa"/>
            <w:vMerge w:val="restart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Parameters</w:t>
            </w:r>
          </w:p>
        </w:tc>
        <w:tc>
          <w:tcPr>
            <w:tcW w:w="5864" w:type="dxa"/>
            <w:gridSpan w:val="3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Channel model options for </w:t>
            </w:r>
            <w:r>
              <w:rPr>
                <w:szCs w:val="20"/>
                <w:lang w:eastAsia="zh-CN"/>
              </w:rPr>
              <w:t>scenario-B bi-directional deployment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872" w:type="dxa"/>
            <w:vMerge w:val="continue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szCs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2(b)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jc w:val="center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2(c)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configuration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8 2 1 1]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29" o:spt="75" type="#_x0000_t75" style="height:18.25pt;width:119.2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8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30" o:spt="75" type="#_x0000_t75" style="height:18.25pt;width:120.1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configuration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[4 2 2 1 1]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g,H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 xml:space="preserve">=0.5λ, </w:t>
            </w:r>
            <w:r>
              <w:rPr>
                <w:i/>
                <w:iCs/>
                <w:szCs w:val="20"/>
                <w:lang w:eastAsia="ko-KR"/>
              </w:rPr>
              <w:t>d</w:t>
            </w:r>
            <w:r>
              <w:rPr>
                <w:i/>
                <w:iCs/>
                <w:szCs w:val="20"/>
                <w:vertAlign w:val="subscript"/>
                <w:lang w:eastAsia="ko-KR"/>
              </w:rPr>
              <w:t>g,</w:t>
            </w:r>
            <w:r>
              <w:rPr>
                <w:rFonts w:eastAsia="宋体"/>
                <w:i/>
                <w:iCs/>
                <w:szCs w:val="20"/>
                <w:vertAlign w:val="subscript"/>
                <w:lang w:eastAsia="zh-CN"/>
              </w:rPr>
              <w:t>V</w:t>
            </w:r>
            <w:r>
              <w:rPr>
                <w:rFonts w:eastAsia="宋体"/>
                <w:i/>
                <w:iCs/>
                <w:szCs w:val="20"/>
                <w:lang w:eastAsia="zh-CN"/>
              </w:rPr>
              <w:t>=0.5λ</w:t>
            </w:r>
          </w:p>
          <w:p>
            <w:pPr>
              <w:adjustRightInd w:val="0"/>
              <w:snapToGrid w:val="0"/>
              <w:spacing w:after="0" w:line="240" w:lineRule="auto"/>
              <w:rPr>
                <w:position w:val="-56"/>
                <w:szCs w:val="20"/>
              </w:rPr>
            </w:pPr>
            <w:r>
              <w:rPr>
                <w:position w:val="-12"/>
                <w:szCs w:val="20"/>
              </w:rPr>
              <w:object>
                <v:shape id="_x0000_i1031" o:spt="75" type="#_x0000_t75" style="height:18.25pt;width:119.2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20">
                  <o:LockedField>false</o:LockedField>
                </o:OLEObject>
              </w:objec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position w:val="-12"/>
                <w:szCs w:val="20"/>
              </w:rPr>
              <w:object>
                <v:shape id="_x0000_i1032" o:spt="75" type="#_x0000_t75" style="height:18.25pt;width:120.15pt;" o:ole="t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2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panel placement</w:t>
            </w:r>
          </w:p>
        </w:tc>
        <w:tc>
          <w:tcPr>
            <w:tcW w:w="2932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-26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-154degree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szCs w:val="20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  <w:tc>
          <w:tcPr>
            <w:tcW w:w="2932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-18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-162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panel placement</w:t>
            </w:r>
          </w:p>
        </w:tc>
        <w:tc>
          <w:tcPr>
            <w:tcW w:w="2932" w:type="dxa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26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154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  <w:tc>
          <w:tcPr>
            <w:tcW w:w="2932" w:type="dxa"/>
            <w:gridSpan w:val="2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18 degree azimuth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162 degree azimuth for left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right panel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0 degree down tilt for left panel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Tx power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  <w:lang w:eastAsia="ja-JP"/>
              </w:rPr>
            </w:pPr>
            <w:r>
              <w:rPr>
                <w:rFonts w:eastAsia="宋体"/>
                <w:szCs w:val="20"/>
                <w:lang w:eastAsia="zh-CN"/>
              </w:rPr>
              <w:t>30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height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15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CPE antenna height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rPr>
                <w:rFonts w:ascii="Times New Roman" w:hAnsi="Times New Roman"/>
                <w:sz w:val="20"/>
                <w:lang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5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RRH antenna connector loss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3 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Paht loss model</w:t>
            </w:r>
          </w:p>
        </w:tc>
        <w:tc>
          <w:tcPr>
            <w:tcW w:w="5864" w:type="dxa"/>
            <w:gridSpan w:val="3"/>
            <w:shd w:val="clear" w:color="auto" w:fill="auto"/>
            <w:noWrap/>
            <w:vAlign w:val="center"/>
          </w:tcPr>
          <w:p>
            <w:pPr>
              <w:pStyle w:val="36"/>
              <w:adjustRightInd w:val="0"/>
              <w:snapToGrid w:val="0"/>
              <w:spacing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RMaLOS PL1 TS38901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 xml:space="preserve">Tx Beam* </w:t>
            </w: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-12.0948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90.8003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1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-23.1986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91.5043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</w:rPr>
            </w:pP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-40.6013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92.4843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2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-12.0948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90.8003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3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-139.3987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Down tilt: 92.4843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3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-167.9052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Down tilt: 90.8003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-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Beam 4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-156.8014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Down tilt: 91.5043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Rx Beam*</w:t>
            </w: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Left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153.6520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88.3577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Left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162.3533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88.8477 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872" w:type="dxa"/>
            <w:shd w:val="clear" w:color="auto" w:fill="auto"/>
            <w:noWrap/>
          </w:tcPr>
          <w:p>
            <w:pPr>
              <w:adjustRightInd w:val="0"/>
              <w:snapToGrid w:val="0"/>
              <w:spacing w:after="180" w:line="240" w:lineRule="auto"/>
              <w:rPr>
                <w:szCs w:val="20"/>
                <w:lang w:eastAsia="ja-JP"/>
              </w:rPr>
            </w:pPr>
          </w:p>
        </w:tc>
        <w:tc>
          <w:tcPr>
            <w:tcW w:w="2995" w:type="dxa"/>
            <w:gridSpan w:val="2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Right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40.6013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87.5157 degree</w:t>
            </w:r>
          </w:p>
        </w:tc>
        <w:tc>
          <w:tcPr>
            <w:tcW w:w="2869" w:type="dxa"/>
            <w:shd w:val="clear" w:color="auto" w:fill="auto"/>
            <w:noWrap/>
          </w:tcPr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Right panel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zh-CN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Azimuth: 17.6467 degree</w:t>
            </w:r>
          </w:p>
          <w:p>
            <w:pPr>
              <w:pStyle w:val="36"/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lang w:val="en-US" w:eastAsia="ja-JP"/>
              </w:rPr>
            </w:pPr>
            <w:r>
              <w:rPr>
                <w:rFonts w:ascii="Times New Roman" w:hAnsi="Times New Roman"/>
                <w:sz w:val="20"/>
                <w:lang w:val="en-US" w:eastAsia="zh-CN"/>
              </w:rPr>
              <w:t>Elevation: 88.8477 degree</w:t>
            </w:r>
          </w:p>
        </w:tc>
      </w:tr>
    </w:tbl>
    <w:p>
      <w:pPr>
        <w:pStyle w:val="9"/>
        <w:numPr>
          <w:ilvl w:val="0"/>
          <w:numId w:val="0"/>
        </w:numPr>
        <w:adjustRightInd w:val="0"/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* The track is parallel to x-axis. The CPE moves in the positive direction of the x-axis. The y-axis coordinate of the RRH is Dmin. The 0 degree of elevation is parallel to z-axis.</w:t>
      </w:r>
    </w:p>
    <w:p>
      <w:pPr>
        <w:pStyle w:val="9"/>
        <w:numPr>
          <w:ilvl w:val="0"/>
          <w:numId w:val="0"/>
        </w:numPr>
        <w:rPr>
          <w:lang w:val="en-US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eastAsia="zh-CN"/>
      </w:rPr>
      <w:t>8</w:t>
    </w:r>
    <w:r>
      <w:rPr>
        <w:lang w:eastAsia="zh-CN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 w:tentative="0">
      <w:start w:val="1"/>
      <w:numFmt w:val="decimal"/>
      <w:pStyle w:val="9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09A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97FEB"/>
    <w:rsid w:val="002A170A"/>
    <w:rsid w:val="002A1873"/>
    <w:rsid w:val="002A3D17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B7055"/>
    <w:rsid w:val="003C06D9"/>
    <w:rsid w:val="003C277B"/>
    <w:rsid w:val="003C4403"/>
    <w:rsid w:val="003C4F17"/>
    <w:rsid w:val="003C50F9"/>
    <w:rsid w:val="003C6281"/>
    <w:rsid w:val="003D4C11"/>
    <w:rsid w:val="003D515D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1DD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AB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1D3B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155"/>
    <w:rsid w:val="0058116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1870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204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083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5D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98E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85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2CA2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2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4322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2F17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4BC5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57C57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0CB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1775E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1815"/>
    <w:rsid w:val="00D521E7"/>
    <w:rsid w:val="00D52557"/>
    <w:rsid w:val="00D53306"/>
    <w:rsid w:val="00D53859"/>
    <w:rsid w:val="00D53D7F"/>
    <w:rsid w:val="00D53E4D"/>
    <w:rsid w:val="00D544F6"/>
    <w:rsid w:val="00D56687"/>
    <w:rsid w:val="00D5738B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2A4B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164BFB"/>
    <w:rsid w:val="01624027"/>
    <w:rsid w:val="018B3BAA"/>
    <w:rsid w:val="01957959"/>
    <w:rsid w:val="01DC1C82"/>
    <w:rsid w:val="02065A2E"/>
    <w:rsid w:val="02626E3D"/>
    <w:rsid w:val="0298367A"/>
    <w:rsid w:val="02AB60A7"/>
    <w:rsid w:val="02D254EC"/>
    <w:rsid w:val="02F72239"/>
    <w:rsid w:val="02FE5F82"/>
    <w:rsid w:val="032D5AEE"/>
    <w:rsid w:val="03A05508"/>
    <w:rsid w:val="03AB67DC"/>
    <w:rsid w:val="03C77456"/>
    <w:rsid w:val="043D2559"/>
    <w:rsid w:val="0478015E"/>
    <w:rsid w:val="05510DD1"/>
    <w:rsid w:val="062A620F"/>
    <w:rsid w:val="064B00B0"/>
    <w:rsid w:val="06654A0B"/>
    <w:rsid w:val="06823D8F"/>
    <w:rsid w:val="07622262"/>
    <w:rsid w:val="07CD3CDD"/>
    <w:rsid w:val="07EA581E"/>
    <w:rsid w:val="086F1301"/>
    <w:rsid w:val="09294F7D"/>
    <w:rsid w:val="09674661"/>
    <w:rsid w:val="097E672F"/>
    <w:rsid w:val="09825F02"/>
    <w:rsid w:val="09AB6C45"/>
    <w:rsid w:val="09E20449"/>
    <w:rsid w:val="0A2802DC"/>
    <w:rsid w:val="0A731B50"/>
    <w:rsid w:val="0B802D0D"/>
    <w:rsid w:val="0BF41031"/>
    <w:rsid w:val="0C953742"/>
    <w:rsid w:val="0CA242EA"/>
    <w:rsid w:val="0D613BA3"/>
    <w:rsid w:val="0D6E7FA6"/>
    <w:rsid w:val="0D744565"/>
    <w:rsid w:val="0D7F564D"/>
    <w:rsid w:val="0D835665"/>
    <w:rsid w:val="0DE052FE"/>
    <w:rsid w:val="0DFB0C2A"/>
    <w:rsid w:val="0E3330D0"/>
    <w:rsid w:val="0E6F664E"/>
    <w:rsid w:val="0F11785B"/>
    <w:rsid w:val="0F304295"/>
    <w:rsid w:val="0F372967"/>
    <w:rsid w:val="0FDA7DDA"/>
    <w:rsid w:val="0FFA1150"/>
    <w:rsid w:val="112D72C6"/>
    <w:rsid w:val="11A50508"/>
    <w:rsid w:val="11CB0B32"/>
    <w:rsid w:val="120639A8"/>
    <w:rsid w:val="125D4125"/>
    <w:rsid w:val="12AE4121"/>
    <w:rsid w:val="13583391"/>
    <w:rsid w:val="137F4008"/>
    <w:rsid w:val="13D14AEF"/>
    <w:rsid w:val="13F672DD"/>
    <w:rsid w:val="141B497D"/>
    <w:rsid w:val="143E2641"/>
    <w:rsid w:val="144E5CD4"/>
    <w:rsid w:val="152E4ABA"/>
    <w:rsid w:val="158F210D"/>
    <w:rsid w:val="15E12A88"/>
    <w:rsid w:val="15E95672"/>
    <w:rsid w:val="16271D63"/>
    <w:rsid w:val="16BD2FB9"/>
    <w:rsid w:val="16E7731D"/>
    <w:rsid w:val="17233A9B"/>
    <w:rsid w:val="186A72D6"/>
    <w:rsid w:val="189E6E25"/>
    <w:rsid w:val="19607D81"/>
    <w:rsid w:val="19AF5CF6"/>
    <w:rsid w:val="1AA54D0B"/>
    <w:rsid w:val="1AB729CB"/>
    <w:rsid w:val="1B396ABD"/>
    <w:rsid w:val="1C3672FA"/>
    <w:rsid w:val="1C3A751E"/>
    <w:rsid w:val="1C5D00DA"/>
    <w:rsid w:val="1C7E2DD6"/>
    <w:rsid w:val="1CAD4CCB"/>
    <w:rsid w:val="1D186F9D"/>
    <w:rsid w:val="1D5939E1"/>
    <w:rsid w:val="1DA251E1"/>
    <w:rsid w:val="1DA93704"/>
    <w:rsid w:val="1DD8639D"/>
    <w:rsid w:val="1E5D7C0A"/>
    <w:rsid w:val="1F295D72"/>
    <w:rsid w:val="1F4325C8"/>
    <w:rsid w:val="1F595BBB"/>
    <w:rsid w:val="1F7C7957"/>
    <w:rsid w:val="1FD21E35"/>
    <w:rsid w:val="1FD96681"/>
    <w:rsid w:val="1FE10390"/>
    <w:rsid w:val="1FEE7A9C"/>
    <w:rsid w:val="205164A7"/>
    <w:rsid w:val="205B5C27"/>
    <w:rsid w:val="2090238B"/>
    <w:rsid w:val="20E80B16"/>
    <w:rsid w:val="2169466C"/>
    <w:rsid w:val="216D7544"/>
    <w:rsid w:val="21B80AA5"/>
    <w:rsid w:val="225216B5"/>
    <w:rsid w:val="22B37446"/>
    <w:rsid w:val="22E064F5"/>
    <w:rsid w:val="235408E6"/>
    <w:rsid w:val="23DF24C3"/>
    <w:rsid w:val="24386853"/>
    <w:rsid w:val="24715F69"/>
    <w:rsid w:val="24B140D4"/>
    <w:rsid w:val="24C569C9"/>
    <w:rsid w:val="24F907DC"/>
    <w:rsid w:val="250D35C2"/>
    <w:rsid w:val="252A03F9"/>
    <w:rsid w:val="25EF43C8"/>
    <w:rsid w:val="262E08BF"/>
    <w:rsid w:val="263951B2"/>
    <w:rsid w:val="263E55AD"/>
    <w:rsid w:val="27811B4A"/>
    <w:rsid w:val="283146AB"/>
    <w:rsid w:val="28A96A0F"/>
    <w:rsid w:val="28EE7A07"/>
    <w:rsid w:val="2A1E2DE0"/>
    <w:rsid w:val="2A7049D1"/>
    <w:rsid w:val="2AB04251"/>
    <w:rsid w:val="2ABE7215"/>
    <w:rsid w:val="2AE8229B"/>
    <w:rsid w:val="2AEC42E5"/>
    <w:rsid w:val="2B034D47"/>
    <w:rsid w:val="2B641C02"/>
    <w:rsid w:val="2B6F681F"/>
    <w:rsid w:val="2B893BA3"/>
    <w:rsid w:val="2BC82480"/>
    <w:rsid w:val="2BEB375B"/>
    <w:rsid w:val="2C1A5D63"/>
    <w:rsid w:val="2C2907BF"/>
    <w:rsid w:val="2C80477B"/>
    <w:rsid w:val="2C994769"/>
    <w:rsid w:val="2CA73FE3"/>
    <w:rsid w:val="2CD46AFB"/>
    <w:rsid w:val="2CE15438"/>
    <w:rsid w:val="2CF41E93"/>
    <w:rsid w:val="2D765EC8"/>
    <w:rsid w:val="2D812190"/>
    <w:rsid w:val="2DA94150"/>
    <w:rsid w:val="2E1176AC"/>
    <w:rsid w:val="2EC4540D"/>
    <w:rsid w:val="2ECB7AE0"/>
    <w:rsid w:val="2EE73C7F"/>
    <w:rsid w:val="2F0E5D72"/>
    <w:rsid w:val="2F235269"/>
    <w:rsid w:val="2F322289"/>
    <w:rsid w:val="2F4B1C2D"/>
    <w:rsid w:val="2F7951B2"/>
    <w:rsid w:val="30571C73"/>
    <w:rsid w:val="313A0372"/>
    <w:rsid w:val="316C26E3"/>
    <w:rsid w:val="31B6217A"/>
    <w:rsid w:val="32305666"/>
    <w:rsid w:val="328D4D87"/>
    <w:rsid w:val="32EC2013"/>
    <w:rsid w:val="33021368"/>
    <w:rsid w:val="33133DBA"/>
    <w:rsid w:val="33491F36"/>
    <w:rsid w:val="33883009"/>
    <w:rsid w:val="34462915"/>
    <w:rsid w:val="34EA3595"/>
    <w:rsid w:val="34F31159"/>
    <w:rsid w:val="35684E72"/>
    <w:rsid w:val="35840005"/>
    <w:rsid w:val="35D34EB8"/>
    <w:rsid w:val="361A0DD1"/>
    <w:rsid w:val="36397A7D"/>
    <w:rsid w:val="363A75C1"/>
    <w:rsid w:val="36950F43"/>
    <w:rsid w:val="36F13745"/>
    <w:rsid w:val="37235D83"/>
    <w:rsid w:val="383D18D1"/>
    <w:rsid w:val="38450628"/>
    <w:rsid w:val="386C1CFB"/>
    <w:rsid w:val="388C38C8"/>
    <w:rsid w:val="388E6306"/>
    <w:rsid w:val="3891144C"/>
    <w:rsid w:val="38A065D5"/>
    <w:rsid w:val="38B05255"/>
    <w:rsid w:val="393853EE"/>
    <w:rsid w:val="39474FFC"/>
    <w:rsid w:val="39A12E64"/>
    <w:rsid w:val="39D65692"/>
    <w:rsid w:val="39DB73FE"/>
    <w:rsid w:val="39E551C2"/>
    <w:rsid w:val="3A985F9F"/>
    <w:rsid w:val="3ACA79CB"/>
    <w:rsid w:val="3ACD696C"/>
    <w:rsid w:val="3B1D04C9"/>
    <w:rsid w:val="3B68666D"/>
    <w:rsid w:val="3B924465"/>
    <w:rsid w:val="3BA94452"/>
    <w:rsid w:val="3BDB2C80"/>
    <w:rsid w:val="3C8B2EA4"/>
    <w:rsid w:val="3CA920E5"/>
    <w:rsid w:val="3CAC6E06"/>
    <w:rsid w:val="3CC85F33"/>
    <w:rsid w:val="3D6F2596"/>
    <w:rsid w:val="3DC16634"/>
    <w:rsid w:val="3DF93879"/>
    <w:rsid w:val="3E1A5B77"/>
    <w:rsid w:val="3E3D115C"/>
    <w:rsid w:val="3E816ACA"/>
    <w:rsid w:val="3EBA3F51"/>
    <w:rsid w:val="3ED90D52"/>
    <w:rsid w:val="3EFB0DA2"/>
    <w:rsid w:val="3F4371E9"/>
    <w:rsid w:val="3F5B25E2"/>
    <w:rsid w:val="3FBE5D52"/>
    <w:rsid w:val="40147908"/>
    <w:rsid w:val="40273EB3"/>
    <w:rsid w:val="403917EB"/>
    <w:rsid w:val="404F7A6B"/>
    <w:rsid w:val="405440AD"/>
    <w:rsid w:val="40705D5D"/>
    <w:rsid w:val="40C765F3"/>
    <w:rsid w:val="41071BAC"/>
    <w:rsid w:val="41256FB7"/>
    <w:rsid w:val="41CD6F0D"/>
    <w:rsid w:val="42C843A0"/>
    <w:rsid w:val="42F20CDD"/>
    <w:rsid w:val="43776349"/>
    <w:rsid w:val="43A46A86"/>
    <w:rsid w:val="444F282C"/>
    <w:rsid w:val="44AD175A"/>
    <w:rsid w:val="44B2766E"/>
    <w:rsid w:val="45834801"/>
    <w:rsid w:val="458F4D24"/>
    <w:rsid w:val="459C5BD8"/>
    <w:rsid w:val="45F60A50"/>
    <w:rsid w:val="465B1E86"/>
    <w:rsid w:val="46616E4A"/>
    <w:rsid w:val="46BB1C89"/>
    <w:rsid w:val="470423C2"/>
    <w:rsid w:val="482C6CD1"/>
    <w:rsid w:val="4853345A"/>
    <w:rsid w:val="48845C84"/>
    <w:rsid w:val="48F82FC3"/>
    <w:rsid w:val="490D3059"/>
    <w:rsid w:val="49500FEB"/>
    <w:rsid w:val="496A7489"/>
    <w:rsid w:val="49745C9D"/>
    <w:rsid w:val="49F32E1B"/>
    <w:rsid w:val="49FF1C1E"/>
    <w:rsid w:val="4A0B7057"/>
    <w:rsid w:val="4A280667"/>
    <w:rsid w:val="4A471CD8"/>
    <w:rsid w:val="4A511B6E"/>
    <w:rsid w:val="4A7C4548"/>
    <w:rsid w:val="4B5B5B93"/>
    <w:rsid w:val="4B901389"/>
    <w:rsid w:val="4BE541F5"/>
    <w:rsid w:val="4C2C30BE"/>
    <w:rsid w:val="4C3A2A9D"/>
    <w:rsid w:val="4C5D2EB7"/>
    <w:rsid w:val="4C8D7B0E"/>
    <w:rsid w:val="4CBF03D6"/>
    <w:rsid w:val="4D014AEF"/>
    <w:rsid w:val="4D436E77"/>
    <w:rsid w:val="4D513299"/>
    <w:rsid w:val="4D6E3FA0"/>
    <w:rsid w:val="4DA22392"/>
    <w:rsid w:val="4DB15D78"/>
    <w:rsid w:val="4E9A7FF9"/>
    <w:rsid w:val="4EDF702E"/>
    <w:rsid w:val="4EF148C1"/>
    <w:rsid w:val="4F047884"/>
    <w:rsid w:val="4F2E3955"/>
    <w:rsid w:val="4F813AF7"/>
    <w:rsid w:val="4F82598E"/>
    <w:rsid w:val="4FBD6EC5"/>
    <w:rsid w:val="4FBF1AB2"/>
    <w:rsid w:val="504E5AC6"/>
    <w:rsid w:val="505076EF"/>
    <w:rsid w:val="505F3BD5"/>
    <w:rsid w:val="508A0B34"/>
    <w:rsid w:val="513C5648"/>
    <w:rsid w:val="51B14BED"/>
    <w:rsid w:val="51EE252C"/>
    <w:rsid w:val="51FA3D86"/>
    <w:rsid w:val="52022698"/>
    <w:rsid w:val="526965AA"/>
    <w:rsid w:val="531E2281"/>
    <w:rsid w:val="54175BE1"/>
    <w:rsid w:val="5445166E"/>
    <w:rsid w:val="54632332"/>
    <w:rsid w:val="54944CE7"/>
    <w:rsid w:val="55436523"/>
    <w:rsid w:val="55CA20E9"/>
    <w:rsid w:val="55ED23C7"/>
    <w:rsid w:val="563C5184"/>
    <w:rsid w:val="565631F5"/>
    <w:rsid w:val="566967B9"/>
    <w:rsid w:val="56A95457"/>
    <w:rsid w:val="56C44CD3"/>
    <w:rsid w:val="581B09AF"/>
    <w:rsid w:val="582E227B"/>
    <w:rsid w:val="58983966"/>
    <w:rsid w:val="589F3533"/>
    <w:rsid w:val="593261D2"/>
    <w:rsid w:val="594135DC"/>
    <w:rsid w:val="59423730"/>
    <w:rsid w:val="595A6E9E"/>
    <w:rsid w:val="5A1C5FCA"/>
    <w:rsid w:val="5A30212F"/>
    <w:rsid w:val="5A673B34"/>
    <w:rsid w:val="5A8F1C82"/>
    <w:rsid w:val="5AA04D8D"/>
    <w:rsid w:val="5AFF5DE6"/>
    <w:rsid w:val="5B4026E8"/>
    <w:rsid w:val="5B482E24"/>
    <w:rsid w:val="5C3D7978"/>
    <w:rsid w:val="5C9A4DB7"/>
    <w:rsid w:val="5D1A39EE"/>
    <w:rsid w:val="5D5C7688"/>
    <w:rsid w:val="5D67013B"/>
    <w:rsid w:val="5E224225"/>
    <w:rsid w:val="5E2732CD"/>
    <w:rsid w:val="5E336F39"/>
    <w:rsid w:val="5F260BD6"/>
    <w:rsid w:val="60205F90"/>
    <w:rsid w:val="608E2F6C"/>
    <w:rsid w:val="60EC3C37"/>
    <w:rsid w:val="60EE62F2"/>
    <w:rsid w:val="618222A1"/>
    <w:rsid w:val="61A058F7"/>
    <w:rsid w:val="61B93E53"/>
    <w:rsid w:val="62082A4E"/>
    <w:rsid w:val="628639B0"/>
    <w:rsid w:val="62D53BF4"/>
    <w:rsid w:val="62E61A04"/>
    <w:rsid w:val="633157BA"/>
    <w:rsid w:val="63610183"/>
    <w:rsid w:val="637947A5"/>
    <w:rsid w:val="63D0005D"/>
    <w:rsid w:val="64B7605C"/>
    <w:rsid w:val="64EC38D4"/>
    <w:rsid w:val="65137D34"/>
    <w:rsid w:val="651B3FED"/>
    <w:rsid w:val="652B096E"/>
    <w:rsid w:val="655C4EB4"/>
    <w:rsid w:val="658B678B"/>
    <w:rsid w:val="65C6296B"/>
    <w:rsid w:val="66131984"/>
    <w:rsid w:val="66701083"/>
    <w:rsid w:val="66E16576"/>
    <w:rsid w:val="66E33C2D"/>
    <w:rsid w:val="67427945"/>
    <w:rsid w:val="68233C28"/>
    <w:rsid w:val="685D4279"/>
    <w:rsid w:val="6906197A"/>
    <w:rsid w:val="692A17F3"/>
    <w:rsid w:val="69C27972"/>
    <w:rsid w:val="6A2E4954"/>
    <w:rsid w:val="6A6E396D"/>
    <w:rsid w:val="6AC9421D"/>
    <w:rsid w:val="6AD94F47"/>
    <w:rsid w:val="6C4C2667"/>
    <w:rsid w:val="6CDA49A3"/>
    <w:rsid w:val="6CF36133"/>
    <w:rsid w:val="6D2C0194"/>
    <w:rsid w:val="6D2E084D"/>
    <w:rsid w:val="6DD1076A"/>
    <w:rsid w:val="6DDE3DAF"/>
    <w:rsid w:val="6E1735DC"/>
    <w:rsid w:val="6E2211D6"/>
    <w:rsid w:val="6E956C66"/>
    <w:rsid w:val="6FF30866"/>
    <w:rsid w:val="709838B0"/>
    <w:rsid w:val="70E13200"/>
    <w:rsid w:val="714420CD"/>
    <w:rsid w:val="714736FF"/>
    <w:rsid w:val="715F4C2D"/>
    <w:rsid w:val="72344C7A"/>
    <w:rsid w:val="724530CF"/>
    <w:rsid w:val="72CB7F46"/>
    <w:rsid w:val="72ED0418"/>
    <w:rsid w:val="73121CB7"/>
    <w:rsid w:val="73232722"/>
    <w:rsid w:val="736527CF"/>
    <w:rsid w:val="745C121D"/>
    <w:rsid w:val="753B0F79"/>
    <w:rsid w:val="755C4C37"/>
    <w:rsid w:val="761A2E8D"/>
    <w:rsid w:val="766A005F"/>
    <w:rsid w:val="768D7CD7"/>
    <w:rsid w:val="76C22239"/>
    <w:rsid w:val="76EF3667"/>
    <w:rsid w:val="774D1291"/>
    <w:rsid w:val="776C25E5"/>
    <w:rsid w:val="776C3E9D"/>
    <w:rsid w:val="77B7237F"/>
    <w:rsid w:val="78271104"/>
    <w:rsid w:val="784B7472"/>
    <w:rsid w:val="785B187A"/>
    <w:rsid w:val="7962750F"/>
    <w:rsid w:val="796B0021"/>
    <w:rsid w:val="797218E2"/>
    <w:rsid w:val="7A4205D3"/>
    <w:rsid w:val="7A763E65"/>
    <w:rsid w:val="7A964081"/>
    <w:rsid w:val="7AB05BBC"/>
    <w:rsid w:val="7AB44E97"/>
    <w:rsid w:val="7AB94AC3"/>
    <w:rsid w:val="7AE36910"/>
    <w:rsid w:val="7B940404"/>
    <w:rsid w:val="7BF8597E"/>
    <w:rsid w:val="7C14711B"/>
    <w:rsid w:val="7C312516"/>
    <w:rsid w:val="7C45431D"/>
    <w:rsid w:val="7C4A144B"/>
    <w:rsid w:val="7C5E2D26"/>
    <w:rsid w:val="7C963B24"/>
    <w:rsid w:val="7D4C1C46"/>
    <w:rsid w:val="7DB44FBE"/>
    <w:rsid w:val="7DC64605"/>
    <w:rsid w:val="7DDD0501"/>
    <w:rsid w:val="7E2653BA"/>
    <w:rsid w:val="7E2B63E7"/>
    <w:rsid w:val="7E8B79FF"/>
    <w:rsid w:val="7E935AFB"/>
    <w:rsid w:val="7E9C3271"/>
    <w:rsid w:val="7EC65AAB"/>
    <w:rsid w:val="7EF861D4"/>
    <w:rsid w:val="7F4610EC"/>
    <w:rsid w:val="7F50759A"/>
    <w:rsid w:val="7FA522BC"/>
    <w:rsid w:val="7FC90A85"/>
    <w:rsid w:val="7FF51C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4">
    <w:name w:val="heading 2"/>
    <w:basedOn w:val="1"/>
    <w:next w:val="3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b/>
      <w:bCs/>
      <w:iCs/>
      <w:szCs w:val="28"/>
      <w:lang w:val="zh-CN"/>
    </w:rPr>
  </w:style>
  <w:style w:type="paragraph" w:styleId="5">
    <w:name w:val="heading 3"/>
    <w:basedOn w:val="1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link w:val="53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List 2"/>
    <w:basedOn w:val="10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0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1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2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3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4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5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paragraph" w:styleId="16">
    <w:name w:val="annotation subject"/>
    <w:basedOn w:val="8"/>
    <w:next w:val="8"/>
    <w:link w:val="54"/>
    <w:semiHidden/>
    <w:unhideWhenUsed/>
    <w:qFormat/>
    <w:uiPriority w:val="99"/>
    <w:rPr>
      <w:b/>
      <w:bCs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styleId="21">
    <w:name w:val="annotation reference"/>
    <w:basedOn w:val="19"/>
    <w:semiHidden/>
    <w:unhideWhenUsed/>
    <w:qFormat/>
    <w:uiPriority w:val="99"/>
    <w:rPr>
      <w:sz w:val="16"/>
      <w:szCs w:val="16"/>
    </w:rPr>
  </w:style>
  <w:style w:type="character" w:customStyle="1" w:styleId="22">
    <w:name w:val="标题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标题 2 Char"/>
    <w:link w:val="4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正文文本 Char"/>
    <w:link w:val="3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页眉 Char"/>
    <w:link w:val="14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页脚 Char"/>
    <w:link w:val="13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批注框文本 Char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文档结构图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0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jc w:val="center"/>
    </w:pPr>
    <w:rPr>
      <w:lang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列出段落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日期 Char"/>
    <w:link w:val="11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标题 3 Char"/>
    <w:link w:val="5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3">
    <w:name w:val="批注文字 Char"/>
    <w:basedOn w:val="19"/>
    <w:link w:val="8"/>
    <w:semiHidden/>
    <w:qFormat/>
    <w:uiPriority w:val="99"/>
    <w:rPr>
      <w:rFonts w:ascii="Times New Roman" w:hAnsi="Times New Roman" w:eastAsia="Times New Roman"/>
      <w:lang w:eastAsia="en-US"/>
    </w:rPr>
  </w:style>
  <w:style w:type="character" w:customStyle="1" w:styleId="54">
    <w:name w:val="批注主题 Char"/>
    <w:basedOn w:val="53"/>
    <w:link w:val="16"/>
    <w:semiHidden/>
    <w:qFormat/>
    <w:uiPriority w:val="99"/>
    <w:rPr>
      <w:rFonts w:ascii="Times New Roman" w:hAnsi="Times New Roman" w:eastAsia="Times New Roman"/>
      <w:b/>
      <w:bCs/>
      <w:lang w:eastAsia="en-US"/>
    </w:rPr>
  </w:style>
  <w:style w:type="paragraph" w:customStyle="1" w:styleId="55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val="en-GB"/>
    </w:rPr>
  </w:style>
  <w:style w:type="paragraph" w:customStyle="1" w:styleId="56">
    <w:name w:val="TAN"/>
    <w:basedOn w:val="36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emf"/><Relationship Id="rId8" Type="http://schemas.openxmlformats.org/officeDocument/2006/relationships/image" Target="media/image4.e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oleObject" Target="embeddings/oleObject3.bin"/><Relationship Id="rId15" Type="http://schemas.openxmlformats.org/officeDocument/2006/relationships/image" Target="media/image9.wmf"/><Relationship Id="rId14" Type="http://schemas.openxmlformats.org/officeDocument/2006/relationships/oleObject" Target="embeddings/oleObject2.bin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emf"/><Relationship Id="rId10" Type="http://schemas.openxmlformats.org/officeDocument/2006/relationships/image" Target="media/image6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8</Pages>
  <Words>1096</Words>
  <Characters>6248</Characters>
  <Lines>52</Lines>
  <Paragraphs>14</Paragraphs>
  <TotalTime>24</TotalTime>
  <ScaleCrop>false</ScaleCrop>
  <LinksUpToDate>false</LinksUpToDate>
  <CharactersWithSpaces>7330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Wenhao Liu</dc:creator>
  <cp:lastModifiedBy>ZTE(Liu Wenhao)</cp:lastModifiedBy>
  <cp:lastPrinted>2015-02-02T11:17:00Z</cp:lastPrinted>
  <dcterms:modified xsi:type="dcterms:W3CDTF">2021-08-06T13:33:16Z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